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spacing w:before="4"/>
        <w:ind w:firstLine="520"/>
        <w:rPr>
          <w:rFonts w:ascii="Times New Roman"/>
          <w:sz w:val="26"/>
        </w:rPr>
      </w:pPr>
    </w:p>
    <w:p>
      <w:pPr>
        <w:pStyle w:val="6"/>
        <w:ind w:left="568" w:firstLine="400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4638675" cy="10845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spacing w:before="2"/>
        <w:ind w:firstLine="480"/>
        <w:rPr>
          <w:rFonts w:ascii="Times New Roman"/>
          <w:sz w:val="25"/>
        </w:rPr>
      </w:pPr>
      <w:r>
        <w:pict>
          <v:group id="_x0000_s1033" o:spid="_x0000_s1033" o:spt="203" style="position:absolute;left:0pt;margin-left:122.05pt;margin-top:16.45pt;height:85.45pt;width:350.2pt;mso-position-horizontal-relative:page;mso-wrap-distance-bottom:0pt;mso-wrap-distance-top:0pt;z-index:-251654144;mso-width-relative:page;mso-height-relative:page;" coordorigin="2441,329" coordsize="7004,-2147483648">
            <o:lock v:ext="edit"/>
            <v:shape id="_x0000_s1035" o:spid="_x0000_s1035" o:spt="75" type="#_x0000_t75" style="position:absolute;left:2440;top:329;height:1652;width:7004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34" o:spid="_x0000_s1034" o:spt="202" type="#_x0000_t202" style="position:absolute;left:2440;top:329;height:1709;width:70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3"/>
                      <w:ind w:left="2101" w:firstLine="560"/>
                      <w:rPr>
                        <w:rFonts w:ascii="宋体" w:eastAsia="宋体"/>
                      </w:rPr>
                    </w:pPr>
                    <w:r>
                      <w:rPr>
                        <w:rFonts w:hint="eastAsia" w:ascii="宋体" w:eastAsia="宋体"/>
                      </w:rPr>
                      <w:t>江苏国泰新点软件有限公司</w:t>
                    </w:r>
                  </w:p>
                  <w:p>
                    <w:pPr>
                      <w:spacing w:before="18" w:line="624" w:lineRule="exact"/>
                      <w:ind w:left="480" w:right="88" w:firstLine="478"/>
                      <w:rPr>
                        <w:rFonts w:ascii="宋体" w:eastAsia="宋体"/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地址：江苏张家港市经济开发区</w:t>
                    </w:r>
                    <w:r>
                      <w:rPr>
                        <w:rFonts w:ascii="Arial" w:eastAsia="Arial"/>
                        <w:b/>
                        <w:color w:val="0000FF"/>
                        <w:sz w:val="24"/>
                      </w:rPr>
                      <w:t xml:space="preserve">(http://www.epoint.com.cn) </w:t>
                    </w:r>
                    <w:r>
                      <w:rPr>
                        <w:sz w:val="24"/>
                      </w:rPr>
                      <w:t>电话：</w:t>
                    </w:r>
                    <w:r>
                      <w:rPr>
                        <w:rFonts w:hint="eastAsia" w:ascii="宋体" w:eastAsia="宋体"/>
                        <w:sz w:val="24"/>
                      </w:rPr>
                      <w:t>0512-58188000</w:t>
                    </w:r>
                    <w:r>
                      <w:rPr>
                        <w:sz w:val="24"/>
                      </w:rPr>
                      <w:t>传真：</w:t>
                    </w:r>
                    <w:r>
                      <w:rPr>
                        <w:rFonts w:hint="eastAsia" w:ascii="宋体" w:eastAsia="宋体"/>
                        <w:sz w:val="24"/>
                      </w:rPr>
                      <w:t xml:space="preserve">0512-58132373 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6"/>
        <w:spacing w:before="1"/>
        <w:ind w:firstLine="140"/>
        <w:rPr>
          <w:rFonts w:ascii="Times New Roman"/>
          <w:sz w:val="7"/>
        </w:rPr>
      </w:pPr>
    </w:p>
    <w:p>
      <w:pPr>
        <w:pStyle w:val="6"/>
        <w:ind w:left="134" w:firstLine="400"/>
        <w:rPr>
          <w:rFonts w:ascii="Times New Roman"/>
          <w:sz w:val="20"/>
        </w:rPr>
      </w:pPr>
      <w:r>
        <w:rPr>
          <w:rFonts w:ascii="Times New Roman"/>
          <w:sz w:val="20"/>
          <w:lang w:val="en-US" w:bidi="ar-SA"/>
        </w:rPr>
        <w:drawing>
          <wp:inline distT="0" distB="0" distL="0" distR="0">
            <wp:extent cx="5313045" cy="26162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37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/>
        <w:rPr>
          <w:rFonts w:ascii="Times New Roman"/>
          <w:sz w:val="20"/>
        </w:rPr>
      </w:pPr>
    </w:p>
    <w:p>
      <w:pPr>
        <w:pStyle w:val="6"/>
        <w:spacing w:before="4"/>
        <w:ind w:firstLine="540"/>
        <w:rPr>
          <w:rFonts w:ascii="Times New Roman"/>
          <w:sz w:val="27"/>
        </w:rPr>
      </w:pPr>
    </w:p>
    <w:p>
      <w:pPr>
        <w:spacing w:before="32" w:line="487" w:lineRule="auto"/>
        <w:ind w:left="280" w:leftChars="100" w:right="1371" w:firstLine="964"/>
        <w:jc w:val="center"/>
        <w:rPr>
          <w:rFonts w:hint="default" w:ascii="宋体" w:eastAsia="宋体"/>
          <w:b/>
          <w:sz w:val="56"/>
          <w:szCs w:val="28"/>
          <w:lang w:val="en-US" w:eastAsia="zh-CN"/>
        </w:rPr>
      </w:pPr>
      <w:r>
        <w:rPr>
          <w:rFonts w:hint="eastAsia" w:ascii="宋体" w:eastAsia="宋体"/>
          <w:b/>
          <w:sz w:val="56"/>
          <w:szCs w:val="28"/>
          <w:lang w:val="en-US" w:eastAsia="zh-CN"/>
        </w:rPr>
        <w:t>伊犁州直交通</w:t>
      </w:r>
      <w:r>
        <w:rPr>
          <w:rFonts w:hint="eastAsia" w:ascii="宋体" w:eastAsia="宋体"/>
          <w:b/>
          <w:sz w:val="56"/>
          <w:szCs w:val="28"/>
        </w:rPr>
        <w:t>工程</w:t>
      </w:r>
      <w:r>
        <w:rPr>
          <w:rFonts w:hint="eastAsia" w:ascii="宋体" w:eastAsia="宋体"/>
          <w:b/>
          <w:sz w:val="56"/>
          <w:szCs w:val="28"/>
          <w:lang w:val="en-US" w:eastAsia="zh-CN"/>
        </w:rPr>
        <w:t>业务</w:t>
      </w:r>
    </w:p>
    <w:p>
      <w:pPr>
        <w:spacing w:before="32" w:line="487" w:lineRule="auto"/>
        <w:ind w:left="280" w:leftChars="100" w:right="1371" w:firstLine="1446" w:firstLineChars="300"/>
        <w:jc w:val="center"/>
        <w:rPr>
          <w:rFonts w:ascii="宋体" w:eastAsia="宋体"/>
          <w:b/>
          <w:sz w:val="48"/>
        </w:rPr>
      </w:pPr>
      <w:r>
        <w:rPr>
          <w:rFonts w:hint="eastAsia" w:ascii="宋体" w:eastAsia="宋体"/>
          <w:b/>
          <w:sz w:val="48"/>
        </w:rPr>
        <w:t>投标人操作手册 v1.0</w:t>
      </w:r>
    </w:p>
    <w:p>
      <w:pPr>
        <w:pStyle w:val="6"/>
        <w:ind w:firstLine="402"/>
        <w:rPr>
          <w:rFonts w:ascii="Arial"/>
          <w:b/>
          <w:sz w:val="20"/>
        </w:rPr>
      </w:pPr>
    </w:p>
    <w:p>
      <w:pPr>
        <w:pStyle w:val="6"/>
        <w:ind w:firstLine="0" w:firstLineChars="0"/>
        <w:rPr>
          <w:rFonts w:ascii="Arial"/>
          <w:b/>
          <w:sz w:val="20"/>
        </w:rPr>
      </w:pPr>
    </w:p>
    <w:p>
      <w:pPr>
        <w:pStyle w:val="6"/>
        <w:ind w:firstLine="402"/>
        <w:rPr>
          <w:rFonts w:ascii="Arial"/>
          <w:b/>
          <w:sz w:val="20"/>
        </w:rPr>
      </w:pPr>
    </w:p>
    <w:p>
      <w:pPr>
        <w:pStyle w:val="6"/>
        <w:ind w:firstLine="402"/>
        <w:rPr>
          <w:rFonts w:ascii="Arial"/>
          <w:b/>
          <w:sz w:val="20"/>
        </w:rPr>
      </w:pPr>
    </w:p>
    <w:p>
      <w:pPr>
        <w:pStyle w:val="6"/>
        <w:ind w:firstLine="402"/>
        <w:rPr>
          <w:rFonts w:ascii="Arial"/>
          <w:b/>
          <w:sz w:val="20"/>
        </w:rPr>
      </w:pPr>
    </w:p>
    <w:p>
      <w:pPr>
        <w:pStyle w:val="6"/>
        <w:ind w:firstLine="402"/>
        <w:rPr>
          <w:rFonts w:ascii="Arial"/>
          <w:b/>
          <w:sz w:val="20"/>
        </w:rPr>
      </w:pPr>
    </w:p>
    <w:p>
      <w:pPr>
        <w:pStyle w:val="6"/>
        <w:spacing w:before="6"/>
        <w:ind w:firstLine="582"/>
        <w:rPr>
          <w:rFonts w:ascii="Arial"/>
          <w:b/>
          <w:sz w:val="29"/>
        </w:rPr>
      </w:pPr>
    </w:p>
    <w:p>
      <w:pPr>
        <w:spacing w:before="61"/>
        <w:ind w:right="2974" w:firstLine="2249" w:firstLineChars="800"/>
        <w:jc w:val="both"/>
        <w:rPr>
          <w:rFonts w:ascii="Arial" w:eastAsia="Arial"/>
          <w:b/>
          <w:sz w:val="24"/>
        </w:rPr>
      </w:pPr>
      <w:r>
        <w:rPr>
          <w:rFonts w:hint="eastAsia" w:ascii="宋体" w:eastAsia="宋体"/>
          <w:b/>
        </w:rPr>
        <w:t>江苏国泰新点软件有限公司</w:t>
      </w:r>
    </w:p>
    <w:p>
      <w:pPr>
        <w:ind w:firstLine="482"/>
        <w:jc w:val="center"/>
        <w:rPr>
          <w:rFonts w:ascii="Arial" w:eastAsia="Arial"/>
          <w:b/>
          <w:sz w:val="2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10" w:h="16840"/>
          <w:pgMar w:top="1400" w:right="1220" w:bottom="280" w:left="1680" w:header="892" w:footer="720" w:gutter="0"/>
          <w:cols w:space="720" w:num="1"/>
        </w:sectPr>
      </w:pPr>
    </w:p>
    <w:p>
      <w:pPr>
        <w:pStyle w:val="3"/>
        <w:tabs>
          <w:tab w:val="left" w:pos="567"/>
        </w:tabs>
        <w:spacing w:before="240"/>
        <w:ind w:firstLine="643"/>
      </w:pPr>
      <w:bookmarkStart w:id="0" w:name="_Toc418155829"/>
      <w:bookmarkStart w:id="1" w:name="_Toc387137487"/>
      <w:bookmarkStart w:id="2" w:name="_Toc346183639"/>
      <w:bookmarkStart w:id="3" w:name="_Toc26177"/>
      <w:r>
        <w:t>浏览器配置</w:t>
      </w:r>
      <w:bookmarkEnd w:id="0"/>
      <w:bookmarkEnd w:id="1"/>
      <w:bookmarkEnd w:id="2"/>
      <w:bookmarkEnd w:id="3"/>
      <w:bookmarkStart w:id="4" w:name="_Toc346183640"/>
      <w:bookmarkStart w:id="5" w:name="_Toc387137488"/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注：必须使用IE浏览器。</w:t>
      </w:r>
    </w:p>
    <w:bookmarkEnd w:id="4"/>
    <w:bookmarkEnd w:id="5"/>
    <w:p>
      <w:pPr>
        <w:pStyle w:val="4"/>
        <w:numPr>
          <w:ilvl w:val="2"/>
          <w:numId w:val="1"/>
        </w:numPr>
        <w:ind w:firstLine="562"/>
        <w:jc w:val="both"/>
      </w:pPr>
      <w:bookmarkStart w:id="6" w:name="_Toc6609"/>
      <w:bookmarkStart w:id="7" w:name="_Toc418155830"/>
      <w:r>
        <w:rPr>
          <w:rFonts w:hint="eastAsia"/>
        </w:rPr>
        <w:t>Internet选项</w:t>
      </w:r>
      <w:bookmarkEnd w:id="6"/>
      <w:bookmarkEnd w:id="7"/>
    </w:p>
    <w:p>
      <w:pPr>
        <w:ind w:firstLine="568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568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  <w:r>
        <w:rPr>
          <w:rFonts w:ascii="Calibri" w:hAnsi="Calibri" w:eastAsia="宋体" w:cs="Times New Roman"/>
          <w:szCs w:val="24"/>
          <w:lang w:val="en-US" w:bidi="ar-SA"/>
        </w:rPr>
        <w:drawing>
          <wp:inline distT="0" distB="0" distL="114300" distR="114300">
            <wp:extent cx="5272405" cy="2721610"/>
            <wp:effectExtent l="0" t="0" r="635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8"/>
        <w:rPr>
          <w:spacing w:val="4"/>
        </w:rPr>
      </w:pPr>
      <w:r>
        <w:rPr>
          <w:spacing w:val="4"/>
        </w:rPr>
        <w:t>2、弹出对话框之后，请选择“安全”选项</w:t>
      </w:r>
      <w:r>
        <w:rPr>
          <w:rFonts w:hint="eastAsia"/>
          <w:spacing w:val="4"/>
        </w:rPr>
        <w:t>按钮</w:t>
      </w:r>
      <w:r>
        <w:rPr>
          <w:spacing w:val="4"/>
        </w:rPr>
        <w:t>，具体的界面，如下图：</w:t>
      </w:r>
      <w:r>
        <w:rPr>
          <w:lang w:val="en-US" w:bidi="ar-SA"/>
        </w:rPr>
        <w:drawing>
          <wp:inline distT="0" distB="0" distL="114300" distR="114300">
            <wp:extent cx="3562350" cy="3438525"/>
            <wp:effectExtent l="0" t="0" r="3810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8"/>
        <w:rPr>
          <w:spacing w:val="4"/>
        </w:rPr>
      </w:pPr>
    </w:p>
    <w:p>
      <w:pPr>
        <w:ind w:firstLine="568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</w:t>
      </w:r>
      <w:r>
        <w:rPr>
          <w:rFonts w:hint="eastAsia" w:ascii="宋体" w:hAnsi="宋体"/>
          <w:spacing w:val="4"/>
        </w:rPr>
        <w:t>可信站点</w:t>
      </w:r>
      <w:r>
        <w:rPr>
          <w:rFonts w:ascii="宋体" w:hAnsi="宋体"/>
          <w:spacing w:val="4"/>
        </w:rPr>
        <w:t>”的图片，会看到如下图所示的界面，如下图：</w:t>
      </w:r>
      <w:r>
        <w:rPr>
          <w:lang w:val="en-US" w:bidi="ar-SA"/>
        </w:rPr>
        <w:drawing>
          <wp:inline distT="0" distB="0" distL="114300" distR="114300">
            <wp:extent cx="3714750" cy="4438650"/>
            <wp:effectExtent l="0" t="0" r="3810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8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ind w:firstLine="568"/>
        <w:rPr>
          <w:spacing w:val="4"/>
        </w:rPr>
      </w:pPr>
      <w:r>
        <w:rPr>
          <w:spacing w:val="4"/>
        </w:rPr>
        <w:t>输入系统服务器的IP地址，格式例如：</w:t>
      </w:r>
      <w:r>
        <w:rPr>
          <w:rFonts w:hint="eastAsia"/>
          <w:spacing w:val="4"/>
          <w:lang w:val="en-US"/>
        </w:rPr>
        <w:t>http://ggzy.xjyl.gov.cn</w:t>
      </w:r>
      <w:r>
        <w:rPr>
          <w:rFonts w:hint="eastAsia"/>
          <w:spacing w:val="4"/>
          <w:lang w:val="en-US" w:eastAsia="zh-CN"/>
        </w:rPr>
        <w:t>或http://222.81.52.3</w:t>
      </w:r>
      <w:r>
        <w:rPr>
          <w:spacing w:val="4"/>
        </w:rPr>
        <w:t>然后点击“添加”按钮完成添加，再按“关闭”按钮退出。</w:t>
      </w:r>
    </w:p>
    <w:p>
      <w:pPr>
        <w:ind w:firstLine="560"/>
      </w:pPr>
      <w:r>
        <w:rPr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22860</wp:posOffset>
            </wp:positionV>
            <wp:extent cx="4448175" cy="3992880"/>
            <wp:effectExtent l="0" t="0" r="1905" b="0"/>
            <wp:wrapTopAndBottom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4"/>
        </w:rPr>
        <w:t>5、设置自定义安全级别，开放Activex的访问权限，如下图：</w:t>
      </w:r>
      <w:r>
        <w:rPr>
          <w:lang w:val="en-US" w:bidi="ar-SA"/>
        </w:rPr>
        <w:drawing>
          <wp:inline distT="0" distB="0" distL="114300" distR="114300">
            <wp:extent cx="4029075" cy="4810125"/>
            <wp:effectExtent l="0" t="0" r="9525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会出现一个窗口，把其中的Activex控件和插件的设置全部改为启用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"C:\\Users\\john\\AppData\\Roaming\\Tencent\\Users\\1213618860\\TIM\\WinTemp\\RichOle\\A4DSE8J_%[I8NV()2PLXNTF.png"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"C:\\Users\\john\\AppData\\Roaming\\Tencent\\Users\\1213618860\\TIM\\WinTemp\\RichOle\\A4DSE8J_%[I8NV()2PLXNTF.png"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"C:\\Users\\john\\AppData\\Roaming\\Tencent\\Users\\1213618860\\TIM\\WinTemp\\RichOle\\A4DSE8J_%[I8NV()2PLXNTF.png"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"C:\\Users\\john\\AppData\\Roaming\\Tencent\\Users\\1213618860\\TIM\\WinTemp\\RichOle\\A4DSE8J_%[I8NV()2PLXNTF.png"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"D:\\国泰新点\\AppData\\Roaming\\Tencent\\Users\\1213618860\\TIM\\WinTemp\\RichOle\\A4DSE8J_%[I8NV()2PLXNTF.png"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"D:\\国泰新点\\AppData\\Roaming\\Tencent\\Users\\1213618860\\TIM\\WinTemp\\RichOle\\A4DSE8J_%[I8NV()2PLXNTF.png"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"D:\\国泰新点\\阿克苏操作手册\\AppData\\Roaming\\Tencent\\Users\\1213618860\\TIM\\WinTemp\\RichOle\\A4DSE8J_%[I8NV()2PLXNTF.png"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 INCLUDEPICTURE  "D:\\国泰新点\\阿克苏操作手册\\AppData\\Roaming\\Tencent\\Users\\1213618860\\TIM\\WinTemp\\RichOle\\A4DSE8J_%[I8NV()2PLXNTF.png"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  <w:lang w:val="en-US" w:bidi="ar-SA"/>
        </w:rPr>
        <w:drawing>
          <wp:inline distT="0" distB="0" distL="114300" distR="114300">
            <wp:extent cx="3400425" cy="3629025"/>
            <wp:effectExtent l="0" t="0" r="13335" b="1333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  <w:r>
        <w:rPr>
          <w:rFonts w:ascii="宋体" w:hAnsi="宋体" w:cs="宋体"/>
          <w:sz w:val="24"/>
        </w:rPr>
        <w:fldChar w:fldCharType="end"/>
      </w:r>
    </w:p>
    <w:p>
      <w:pPr>
        <w:ind w:left="1923" w:leftChars="224" w:hanging="1296" w:hangingChars="450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文件下载设置，开放文件下载的权限：设置为启用，如</w:t>
      </w:r>
    </w:p>
    <w:p>
      <w:pPr>
        <w:ind w:firstLine="0" w:firstLineChars="0"/>
        <w:rPr>
          <w:spacing w:val="4"/>
        </w:rPr>
      </w:pPr>
      <w:r>
        <w:rPr>
          <w:lang w:val="en-US" w:bidi="ar-SA"/>
        </w:rPr>
        <w:drawing>
          <wp:inline distT="0" distB="0" distL="114300" distR="114300">
            <wp:extent cx="3533775" cy="3695700"/>
            <wp:effectExtent l="0" t="0" r="1905" b="762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3" w:leftChars="224" w:hanging="1296" w:hangingChars="450"/>
        <w:rPr>
          <w:spacing w:val="4"/>
        </w:rPr>
      </w:pPr>
    </w:p>
    <w:p>
      <w:pPr>
        <w:pStyle w:val="4"/>
        <w:numPr>
          <w:ilvl w:val="2"/>
          <w:numId w:val="1"/>
        </w:numPr>
        <w:ind w:firstLine="562"/>
        <w:jc w:val="both"/>
      </w:pPr>
      <w:bookmarkStart w:id="8" w:name="_Toc387137489"/>
      <w:bookmarkStart w:id="9" w:name="_Toc346183641"/>
      <w:bookmarkStart w:id="10" w:name="_Toc418155831"/>
      <w:bookmarkStart w:id="11" w:name="_Toc17924"/>
      <w:r>
        <w:t>关闭拦截工具</w:t>
      </w:r>
      <w:bookmarkEnd w:id="8"/>
      <w:bookmarkEnd w:id="9"/>
      <w:bookmarkEnd w:id="10"/>
      <w:bookmarkEnd w:id="11"/>
    </w:p>
    <w:p>
      <w:pPr>
        <w:ind w:firstLine="568"/>
        <w:rPr>
          <w:spacing w:val="4"/>
        </w:rPr>
      </w:pPr>
      <w:r>
        <w:rPr>
          <w:rFonts w:hint="eastAsia"/>
          <w:spacing w:val="4"/>
        </w:rPr>
        <w:t>浏览器配置</w:t>
      </w:r>
      <w:r>
        <w:rPr>
          <w:spacing w:val="4"/>
        </w:rPr>
        <w:t>操作完成后，如果系统中某些功能仍不能使用，请将拦截工具关闭再试用。比如在windows工具栏中关闭弹出窗口阻止程序的操作，如下图</w:t>
      </w:r>
      <w:r>
        <w:rPr>
          <w:lang w:val="en-US" w:bidi="ar-SA"/>
        </w:rPr>
        <w:drawing>
          <wp:inline distT="0" distB="0" distL="114300" distR="114300">
            <wp:extent cx="5095875" cy="2324100"/>
            <wp:effectExtent l="0" t="0" r="9525" b="76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firstLine="562"/>
        <w:jc w:val="both"/>
      </w:pPr>
      <w:bookmarkStart w:id="12" w:name="_Toc11831"/>
      <w:bookmarkStart w:id="13" w:name="_Toc418155832"/>
      <w:r>
        <w:rPr>
          <w:rFonts w:hint="eastAsia"/>
        </w:rPr>
        <w:t>设置兼容性</w:t>
      </w:r>
      <w:bookmarkEnd w:id="12"/>
      <w:bookmarkEnd w:id="13"/>
    </w:p>
    <w:p>
      <w:pPr>
        <w:pStyle w:val="17"/>
        <w:ind w:firstLine="420"/>
      </w:pPr>
      <w:r>
        <w:rPr>
          <w:rFonts w:hint="eastAsia"/>
        </w:rPr>
        <w:t>点击IE菜单栏里边的工具-兼容性视图设置，如下图：</w:t>
      </w:r>
    </w:p>
    <w:p>
      <w:pPr>
        <w:pStyle w:val="17"/>
        <w:ind w:firstLine="0" w:firstLineChars="0"/>
      </w:pPr>
      <w:r>
        <w:rPr>
          <w:rFonts w:ascii="Calibri" w:hAnsi="Calibri" w:eastAsia="宋体" w:cs="Times New Roman"/>
          <w:szCs w:val="24"/>
          <w:lang w:val="en-US" w:bidi="ar-SA"/>
        </w:rPr>
        <w:drawing>
          <wp:inline distT="0" distB="0" distL="114300" distR="114300">
            <wp:extent cx="5268595" cy="2291080"/>
            <wp:effectExtent l="0" t="0" r="444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420"/>
      </w:pPr>
      <w:r>
        <w:rPr>
          <w:rFonts w:hint="eastAsia"/>
        </w:rPr>
        <w:t>进入如下页面：将站点添加到兼容性视图的网站，</w:t>
      </w:r>
      <w:r>
        <w:rPr>
          <w:rFonts w:hint="eastAsia"/>
          <w:lang w:val="en-US"/>
        </w:rPr>
        <w:t>直接点击“添加”按钮即可</w:t>
      </w:r>
      <w:r>
        <w:rPr>
          <w:rFonts w:hint="eastAsia"/>
        </w:rPr>
        <w:t>。</w:t>
      </w:r>
    </w:p>
    <w:p>
      <w:pPr>
        <w:pStyle w:val="17"/>
        <w:ind w:firstLine="420"/>
      </w:pPr>
      <w:r>
        <w:rPr>
          <w:lang w:val="en-US" w:bidi="ar-SA"/>
        </w:rPr>
        <w:drawing>
          <wp:inline distT="0" distB="0" distL="114300" distR="114300">
            <wp:extent cx="3452495" cy="4280535"/>
            <wp:effectExtent l="0" t="0" r="6985" b="19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420"/>
        <w:rPr>
          <w:lang w:val="en-US"/>
        </w:rPr>
      </w:pPr>
      <w:r>
        <w:rPr>
          <w:rFonts w:hint="eastAsia"/>
        </w:rPr>
        <w:t>将网站地址添加进去即可。</w:t>
      </w:r>
    </w:p>
    <w:p>
      <w:pPr>
        <w:pStyle w:val="2"/>
        <w:ind w:firstLine="199" w:firstLineChars="55"/>
      </w:pPr>
      <w:r>
        <w:rPr>
          <w:rFonts w:hint="eastAsia"/>
          <w:lang w:val="en-US"/>
        </w:rPr>
        <w:t>一</w:t>
      </w:r>
      <w:r>
        <w:t>、投标单位业务操作</w:t>
      </w:r>
    </w:p>
    <w:p>
      <w:pPr>
        <w:pStyle w:val="3"/>
        <w:spacing w:before="240"/>
        <w:ind w:firstLine="643"/>
        <w:rPr>
          <w:rFonts w:hint="eastAsia"/>
        </w:rPr>
      </w:pPr>
      <w:r>
        <w:rPr>
          <w:rFonts w:hint="eastAsia"/>
          <w:lang w:val="en-US"/>
        </w:rPr>
        <w:t>1</w:t>
      </w:r>
      <w:r>
        <w:rPr>
          <w:rFonts w:hint="eastAsia"/>
        </w:rPr>
        <w:t>.1、领取招标文件</w:t>
      </w:r>
      <w:bookmarkStart w:id="14" w:name="_GoBack"/>
      <w:bookmarkEnd w:id="14"/>
    </w:p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投标企业请办理ca数字证书进行网上招投标活动</w:t>
      </w:r>
    </w:p>
    <w:p>
      <w:pPr>
        <w:ind w:firstLine="562"/>
        <w:rPr>
          <w:rFonts w:eastAsia="宋体"/>
          <w:lang w:val="en-US"/>
        </w:rPr>
      </w:pPr>
      <w:r>
        <w:rPr>
          <w:b/>
        </w:rPr>
        <w:t>步骤一</w:t>
      </w:r>
      <w:r>
        <w:t>：投标单位登录</w:t>
      </w:r>
      <w:r>
        <w:rPr>
          <w:rFonts w:hint="eastAsia"/>
          <w:lang w:val="en-US"/>
        </w:rPr>
        <w:t>伊犁州</w:t>
      </w:r>
      <w:r>
        <w:t>公共资源交易平台，对应的项目分</w:t>
      </w:r>
      <w:r>
        <w:rPr>
          <w:spacing w:val="-17"/>
        </w:rPr>
        <w:t>类</w:t>
      </w:r>
      <w:r>
        <w:t>（</w:t>
      </w:r>
      <w:r>
        <w:rPr>
          <w:spacing w:val="-8"/>
        </w:rPr>
        <w:t>工程、采购、产权、矿权等等</w:t>
      </w:r>
      <w:r>
        <w:rPr>
          <w:spacing w:val="-17"/>
        </w:rPr>
        <w:t>）</w:t>
      </w:r>
      <w:r>
        <w:rPr>
          <w:spacing w:val="-3"/>
        </w:rPr>
        <w:t>选择需投标的项目进行，点击</w:t>
      </w:r>
      <w:r>
        <w:rPr>
          <w:rFonts w:hint="eastAsia"/>
          <w:spacing w:val="-3"/>
        </w:rPr>
        <w:t>“</w:t>
      </w:r>
      <w:r>
        <w:rPr>
          <w:rFonts w:hint="eastAsia"/>
          <w:spacing w:val="-3"/>
          <w:lang w:val="en-US"/>
        </w:rPr>
        <w:t>我要投标</w:t>
      </w:r>
      <w:r>
        <w:rPr>
          <w:rFonts w:hint="eastAsia"/>
          <w:spacing w:val="-3"/>
        </w:rPr>
        <w:t>”，</w:t>
      </w:r>
      <w:r>
        <w:rPr>
          <w:rFonts w:hint="eastAsia"/>
          <w:spacing w:val="-3"/>
          <w:lang w:val="en-US"/>
        </w:rPr>
        <w:t>完善信息后，点击提交</w:t>
      </w:r>
      <w:r>
        <w:rPr>
          <w:rFonts w:hint="eastAsia" w:eastAsia="宋体"/>
          <w:spacing w:val="-3"/>
          <w:lang w:val="en-US"/>
        </w:rPr>
        <w:t>。</w:t>
      </w:r>
    </w:p>
    <w:p>
      <w:pPr>
        <w:pStyle w:val="6"/>
        <w:ind w:firstLine="249" w:firstLineChars="83"/>
        <w:rPr>
          <w:sz w:val="30"/>
        </w:rPr>
      </w:pPr>
      <w:r>
        <w:rPr>
          <w:sz w:val="30"/>
          <w:lang w:val="en-US" w:bidi="ar-SA"/>
        </w:rPr>
        <w:drawing>
          <wp:inline distT="0" distB="0" distL="0" distR="0">
            <wp:extent cx="5721350" cy="268541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lang w:val="en-US" w:bidi="ar-SA"/>
        </w:rPr>
        <w:drawing>
          <wp:inline distT="0" distB="0" distL="0" distR="0">
            <wp:extent cx="5721350" cy="268541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446" w:lineRule="auto"/>
        <w:ind w:right="578" w:firstLine="0" w:firstLineChars="0"/>
        <w:jc w:val="both"/>
        <w:rPr>
          <w:rFonts w:eastAsia="宋体"/>
          <w:lang w:val="en-US"/>
        </w:rPr>
      </w:pPr>
    </w:p>
    <w:p>
      <w:pPr>
        <w:pStyle w:val="6"/>
        <w:spacing w:before="3"/>
        <w:ind w:firstLine="140"/>
        <w:rPr>
          <w:sz w:val="7"/>
        </w:rPr>
      </w:pPr>
    </w:p>
    <w:p>
      <w:pPr>
        <w:ind w:firstLine="562"/>
      </w:pPr>
      <w:r>
        <w:rPr>
          <w:b/>
        </w:rPr>
        <w:t>步骤</w:t>
      </w:r>
      <w:r>
        <w:rPr>
          <w:rFonts w:hint="eastAsia"/>
          <w:b/>
          <w:lang w:val="en-US"/>
        </w:rPr>
        <w:t>二</w:t>
      </w:r>
      <w:r>
        <w:t>：</w:t>
      </w:r>
      <w:r>
        <w:rPr>
          <w:rFonts w:hint="eastAsia" w:asciiTheme="minorEastAsia" w:hAnsiTheme="minorEastAsia"/>
        </w:rPr>
        <w:t>领取招标文件的</w:t>
      </w:r>
      <w:r>
        <w:t>项目可以在右上角我的项目中选择项目分类进行查看。点击对应项目下方的项目流程按钮进入该项目的业务流程操作：下载招标文件、答疑文件、上传投标文件等。</w:t>
      </w:r>
    </w:p>
    <w:p>
      <w:pPr>
        <w:pStyle w:val="6"/>
        <w:spacing w:before="3"/>
        <w:ind w:firstLine="220"/>
        <w:rPr>
          <w:sz w:val="11"/>
        </w:rPr>
      </w:pPr>
      <w:r>
        <w:rPr>
          <w:sz w:val="11"/>
          <w:lang w:val="en-US" w:bidi="ar-SA"/>
        </w:rPr>
        <w:drawing>
          <wp:inline distT="0" distB="0" distL="0" distR="0">
            <wp:extent cx="5721350" cy="2685415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600"/>
        <w:rPr>
          <w:rFonts w:hint="eastAsia"/>
          <w:sz w:val="30"/>
        </w:rPr>
      </w:pPr>
      <w:r>
        <w:rPr>
          <w:sz w:val="30"/>
          <w:lang w:val="en-US" w:bidi="ar-SA"/>
        </w:rPr>
        <w:drawing>
          <wp:inline distT="0" distB="0" distL="0" distR="0">
            <wp:extent cx="5721350" cy="2685415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600"/>
        <w:rPr>
          <w:rFonts w:hint="eastAsia"/>
          <w:sz w:val="30"/>
        </w:rPr>
      </w:pPr>
    </w:p>
    <w:p>
      <w:pPr>
        <w:pStyle w:val="6"/>
        <w:ind w:firstLine="600"/>
        <w:rPr>
          <w:rFonts w:hint="eastAsia"/>
          <w:sz w:val="30"/>
        </w:rPr>
      </w:pPr>
    </w:p>
    <w:p>
      <w:pPr>
        <w:pStyle w:val="6"/>
        <w:ind w:firstLine="600"/>
        <w:rPr>
          <w:rFonts w:hint="eastAsia"/>
          <w:sz w:val="30"/>
        </w:rPr>
      </w:pPr>
    </w:p>
    <w:p>
      <w:pPr>
        <w:pStyle w:val="2"/>
        <w:spacing w:line="638" w:lineRule="exact"/>
        <w:ind w:firstLine="723"/>
      </w:pPr>
      <w:r>
        <w:rPr>
          <w:rFonts w:hint="eastAsia"/>
          <w:lang w:val="en-US"/>
        </w:rPr>
        <w:t>二</w:t>
      </w:r>
      <w:r>
        <w:t>、开标</w:t>
      </w:r>
    </w:p>
    <w:p>
      <w:pPr>
        <w:pStyle w:val="6"/>
        <w:spacing w:before="1"/>
        <w:ind w:left="600" w:firstLine="480"/>
        <w:rPr>
          <w:rFonts w:hint="eastAsia" w:eastAsiaTheme="minorEastAsia"/>
          <w:sz w:val="30"/>
          <w:lang w:val="en-US" w:eastAsia="zh-CN"/>
        </w:rPr>
        <w:sectPr>
          <w:headerReference r:id="rId11" w:type="default"/>
          <w:footerReference r:id="rId12" w:type="default"/>
          <w:pgSz w:w="11910" w:h="16840"/>
          <w:pgMar w:top="1400" w:right="1220" w:bottom="280" w:left="1680" w:header="892" w:footer="0" w:gutter="0"/>
          <w:cols w:space="720" w:num="1"/>
        </w:sectPr>
      </w:pPr>
      <w:r>
        <w:t>开标现场，投标人需</w:t>
      </w:r>
      <w:r>
        <w:rPr>
          <w:rFonts w:hint="eastAsia"/>
          <w:lang w:val="en-US" w:eastAsia="zh-CN"/>
        </w:rPr>
        <w:t>按招标文件要求递交</w:t>
      </w:r>
      <w:r>
        <w:t>投标文</w:t>
      </w:r>
      <w:r>
        <w:rPr>
          <w:rFonts w:hint="eastAsia"/>
          <w:lang w:val="en-US" w:eastAsia="zh-CN"/>
        </w:rPr>
        <w:t>件。</w:t>
      </w:r>
    </w:p>
    <w:p>
      <w:pPr>
        <w:spacing w:line="446" w:lineRule="auto"/>
        <w:ind w:firstLine="0" w:firstLineChars="0"/>
        <w:sectPr>
          <w:pgSz w:w="11910" w:h="16840"/>
          <w:pgMar w:top="1400" w:right="1220" w:bottom="280" w:left="1680" w:header="892" w:footer="0" w:gutter="0"/>
          <w:cols w:space="720" w:num="1"/>
        </w:sectPr>
      </w:pPr>
    </w:p>
    <w:p>
      <w:pPr>
        <w:pStyle w:val="6"/>
        <w:spacing w:before="2"/>
        <w:ind w:left="0" w:leftChars="0" w:firstLine="0" w:firstLineChars="0"/>
        <w:rPr>
          <w:sz w:val="15"/>
        </w:rPr>
      </w:pPr>
    </w:p>
    <w:sectPr>
      <w:pgSz w:w="11910" w:h="16840"/>
      <w:pgMar w:top="1400" w:right="1220" w:bottom="280" w:left="1680" w:header="89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JhengHei U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firstLine="480"/>
      <w:rPr>
        <w:sz w:val="20"/>
      </w:rPr>
    </w:pPr>
    <w:r>
      <w:pict>
        <v:line id="_x0000_s2049" o:spid="_x0000_s2049" o:spt="20" style="position:absolute;left:0pt;margin-left:88.6pt;margin-top:54.25pt;height:0pt;width:418.25pt;mso-position-horizontal-relative:page;mso-position-vertical-relative:page;z-index:-251656192;mso-width-relative:page;mso-height-relative:page;" coordsize="21600,21600">
          <v:path arrowok="t"/>
          <v:fill focussize="0,0"/>
          <v:stroke weight="0.72pt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firstLine="480"/>
      <w:rPr>
        <w:sz w:val="20"/>
      </w:rPr>
    </w:pPr>
    <w:r>
      <w:pict>
        <v:line id="_x0000_s2051" o:spid="_x0000_s2051" o:spt="20" style="position:absolute;left:0pt;margin-left:88.6pt;margin-top:54.25pt;height:0pt;width:418.25pt;mso-position-horizontal-relative:page;mso-position-vertical-relative:page;z-index:-251655168;mso-width-relative:page;mso-height-relative:page;" coordsize="21600,21600" o:gfxdata="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BRK1B1wAAAAwBAAAP&#10;AAAAAAAAAAEAIAAAACIAAABkcnMvZG93bnJldi54bWxQSwECFAAUAAAACACHTuJA2q7gJeABAACm&#10;AwAADgAAAAAAAAABACAAAAAmAQAAZHJzL2Uyb0RvYy54bWxQSwUGAAAAAAYABgBZAQAAeAUAAAAA&#10;">
          <v:path arrowok="t"/>
          <v:fill focussize="0,0"/>
          <v:stroke weight="0.72pt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993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DC20FD"/>
    <w:rsid w:val="00033C07"/>
    <w:rsid w:val="0004517B"/>
    <w:rsid w:val="0006691D"/>
    <w:rsid w:val="00086661"/>
    <w:rsid w:val="000F7760"/>
    <w:rsid w:val="00157EFD"/>
    <w:rsid w:val="001A129A"/>
    <w:rsid w:val="001F68E4"/>
    <w:rsid w:val="00275807"/>
    <w:rsid w:val="00316F5F"/>
    <w:rsid w:val="00331086"/>
    <w:rsid w:val="003B6569"/>
    <w:rsid w:val="0047614B"/>
    <w:rsid w:val="0059624E"/>
    <w:rsid w:val="00667713"/>
    <w:rsid w:val="00691428"/>
    <w:rsid w:val="006E5358"/>
    <w:rsid w:val="006F73BB"/>
    <w:rsid w:val="00703762"/>
    <w:rsid w:val="00780AF2"/>
    <w:rsid w:val="00795AAD"/>
    <w:rsid w:val="008C244A"/>
    <w:rsid w:val="0090324B"/>
    <w:rsid w:val="009568FA"/>
    <w:rsid w:val="00964740"/>
    <w:rsid w:val="00990D63"/>
    <w:rsid w:val="009A4EB7"/>
    <w:rsid w:val="009E5B5E"/>
    <w:rsid w:val="00A665E9"/>
    <w:rsid w:val="00AD3A83"/>
    <w:rsid w:val="00B1381D"/>
    <w:rsid w:val="00B20521"/>
    <w:rsid w:val="00B32363"/>
    <w:rsid w:val="00B84033"/>
    <w:rsid w:val="00BE1406"/>
    <w:rsid w:val="00C07AD1"/>
    <w:rsid w:val="00C454D8"/>
    <w:rsid w:val="00C77FC2"/>
    <w:rsid w:val="00D3011F"/>
    <w:rsid w:val="00D84F6A"/>
    <w:rsid w:val="00DC20FD"/>
    <w:rsid w:val="00DE4003"/>
    <w:rsid w:val="00E713E5"/>
    <w:rsid w:val="00EA3183"/>
    <w:rsid w:val="00EA6E6C"/>
    <w:rsid w:val="00ED53C0"/>
    <w:rsid w:val="00F10816"/>
    <w:rsid w:val="00F57AF3"/>
    <w:rsid w:val="00FF2F50"/>
    <w:rsid w:val="0B0A01DD"/>
    <w:rsid w:val="16C948E1"/>
    <w:rsid w:val="1FF167F9"/>
    <w:rsid w:val="23215574"/>
    <w:rsid w:val="2B215C97"/>
    <w:rsid w:val="31A41426"/>
    <w:rsid w:val="31BD0768"/>
    <w:rsid w:val="3BE46A2F"/>
    <w:rsid w:val="3E80230E"/>
    <w:rsid w:val="51F079A1"/>
    <w:rsid w:val="5792414F"/>
    <w:rsid w:val="5A5000B4"/>
    <w:rsid w:val="70ED001C"/>
    <w:rsid w:val="719F3F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line="360" w:lineRule="auto"/>
      <w:ind w:firstLine="200" w:firstLineChars="200"/>
    </w:pPr>
    <w:rPr>
      <w:rFonts w:ascii="PMingLiU" w:hAnsi="PMingLiU" w:cs="PMingLiU" w:eastAsiaTheme="minorEastAsia"/>
      <w:sz w:val="28"/>
      <w:szCs w:val="22"/>
      <w:lang w:val="zh-CN" w:eastAsia="zh-CN" w:bidi="zh-CN"/>
    </w:rPr>
  </w:style>
  <w:style w:type="paragraph" w:styleId="2">
    <w:name w:val="heading 1"/>
    <w:basedOn w:val="1"/>
    <w:next w:val="1"/>
    <w:link w:val="22"/>
    <w:qFormat/>
    <w:uiPriority w:val="0"/>
    <w:pPr>
      <w:ind w:left="119"/>
      <w:outlineLvl w:val="0"/>
    </w:pPr>
    <w:rPr>
      <w:rFonts w:ascii="Microsoft JhengHei UI" w:hAnsi="Microsoft JhengHei UI" w:cs="Microsoft JhengHei UI"/>
      <w:b/>
      <w:bCs/>
      <w:sz w:val="36"/>
      <w:szCs w:val="36"/>
    </w:rPr>
  </w:style>
  <w:style w:type="paragraph" w:styleId="3">
    <w:name w:val="heading 2"/>
    <w:basedOn w:val="1"/>
    <w:next w:val="1"/>
    <w:qFormat/>
    <w:uiPriority w:val="1"/>
    <w:pPr>
      <w:spacing w:beforeLines="100"/>
      <w:outlineLvl w:val="1"/>
    </w:pPr>
    <w:rPr>
      <w:rFonts w:ascii="Microsoft JhengHei UI" w:hAnsi="Microsoft JhengHei UI" w:cs="Microsoft JhengHei U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before="32"/>
      <w:ind w:left="1200" w:hanging="601"/>
      <w:outlineLvl w:val="2"/>
    </w:pPr>
    <w:rPr>
      <w:rFonts w:ascii="Microsoft JhengHei UI" w:hAnsi="Microsoft JhengHei UI" w:cs="Microsoft JhengHei UI"/>
      <w:b/>
      <w:bCs/>
      <w:szCs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link w:val="23"/>
    <w:qFormat/>
    <w:uiPriority w:val="1"/>
    <w:rPr>
      <w:sz w:val="24"/>
      <w:szCs w:val="24"/>
    </w:r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semiHidden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bidi="ar-SA"/>
    </w:rPr>
  </w:style>
  <w:style w:type="character" w:styleId="13">
    <w:name w:val="Hyperlink"/>
    <w:basedOn w:val="12"/>
    <w:unhideWhenUsed/>
    <w:qFormat/>
    <w:uiPriority w:val="99"/>
    <w:rPr>
      <w:color w:val="0000FF"/>
      <w:u w:val="none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1320" w:hanging="560"/>
    </w:pPr>
    <w:rPr>
      <w:rFonts w:ascii="Microsoft JhengHei UI" w:hAnsi="Microsoft JhengHei UI" w:eastAsia="Microsoft JhengHei UI" w:cs="Microsoft JhengHei UI"/>
    </w:rPr>
  </w:style>
  <w:style w:type="paragraph" w:customStyle="1" w:styleId="16">
    <w:name w:val="Table Paragraph"/>
    <w:basedOn w:val="1"/>
    <w:qFormat/>
    <w:uiPriority w:val="1"/>
  </w:style>
  <w:style w:type="paragraph" w:customStyle="1" w:styleId="17">
    <w:name w:val="Indent Normal"/>
    <w:basedOn w:val="1"/>
    <w:qFormat/>
    <w:uiPriority w:val="0"/>
    <w:pPr>
      <w:ind w:firstLine="150" w:firstLineChars="150"/>
    </w:pPr>
  </w:style>
  <w:style w:type="character" w:customStyle="1" w:styleId="18">
    <w:name w:val="批注框文本 Char"/>
    <w:basedOn w:val="12"/>
    <w:link w:val="7"/>
    <w:semiHidden/>
    <w:qFormat/>
    <w:uiPriority w:val="99"/>
    <w:rPr>
      <w:rFonts w:ascii="PMingLiU" w:hAnsi="PMingLiU" w:eastAsia="PMingLiU" w:cs="PMingLiU"/>
      <w:sz w:val="18"/>
      <w:szCs w:val="18"/>
      <w:lang w:val="zh-CN" w:bidi="zh-CN"/>
    </w:rPr>
  </w:style>
  <w:style w:type="character" w:customStyle="1" w:styleId="19">
    <w:name w:val="文档结构图 Char"/>
    <w:basedOn w:val="12"/>
    <w:link w:val="5"/>
    <w:semiHidden/>
    <w:qFormat/>
    <w:uiPriority w:val="99"/>
    <w:rPr>
      <w:rFonts w:ascii="宋体" w:hAnsi="PMingLiU" w:cs="PMingLiU"/>
      <w:sz w:val="18"/>
      <w:szCs w:val="18"/>
      <w:lang w:val="zh-CN" w:bidi="zh-CN"/>
    </w:rPr>
  </w:style>
  <w:style w:type="character" w:customStyle="1" w:styleId="20">
    <w:name w:val="页眉 Char"/>
    <w:basedOn w:val="12"/>
    <w:link w:val="9"/>
    <w:semiHidden/>
    <w:qFormat/>
    <w:uiPriority w:val="99"/>
    <w:rPr>
      <w:rFonts w:ascii="PMingLiU" w:hAnsi="PMingLiU" w:eastAsia="PMingLiU" w:cs="PMingLiU"/>
      <w:sz w:val="18"/>
      <w:szCs w:val="18"/>
      <w:lang w:val="zh-CN" w:bidi="zh-CN"/>
    </w:rPr>
  </w:style>
  <w:style w:type="character" w:customStyle="1" w:styleId="21">
    <w:name w:val="页脚 Char"/>
    <w:basedOn w:val="12"/>
    <w:link w:val="8"/>
    <w:semiHidden/>
    <w:qFormat/>
    <w:uiPriority w:val="99"/>
    <w:rPr>
      <w:rFonts w:ascii="PMingLiU" w:hAnsi="PMingLiU" w:eastAsia="PMingLiU" w:cs="PMingLiU"/>
      <w:sz w:val="18"/>
      <w:szCs w:val="18"/>
      <w:lang w:val="zh-CN" w:bidi="zh-CN"/>
    </w:rPr>
  </w:style>
  <w:style w:type="character" w:customStyle="1" w:styleId="22">
    <w:name w:val="标题 1 Char"/>
    <w:basedOn w:val="12"/>
    <w:link w:val="2"/>
    <w:qFormat/>
    <w:uiPriority w:val="0"/>
    <w:rPr>
      <w:rFonts w:ascii="Microsoft JhengHei UI" w:hAnsi="Microsoft JhengHei UI" w:cs="Microsoft JhengHei UI"/>
      <w:b/>
      <w:bCs/>
      <w:sz w:val="36"/>
      <w:szCs w:val="36"/>
      <w:lang w:val="zh-CN" w:bidi="zh-CN"/>
    </w:rPr>
  </w:style>
  <w:style w:type="character" w:customStyle="1" w:styleId="23">
    <w:name w:val="正文文本 Char"/>
    <w:basedOn w:val="12"/>
    <w:link w:val="6"/>
    <w:uiPriority w:val="1"/>
    <w:rPr>
      <w:rFonts w:ascii="PMingLiU" w:hAnsi="PMingLiU" w:cs="PMingLiU"/>
      <w:sz w:val="24"/>
      <w:szCs w:val="24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../../AppData/Roaming/Tencent/Users/1213618860/TIM/WinTemp/RichOle/A4DSE8J_%25252525252525%2525252525255bI8NV()2PLXNTF.png" TargetMode="Externa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2051"/>
    <customShpInfo spid="_x0000_s1035"/>
    <customShpInfo spid="_x0000_s1034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310</Words>
  <Characters>1770</Characters>
  <Lines>14</Lines>
  <Paragraphs>4</Paragraphs>
  <TotalTime>7</TotalTime>
  <ScaleCrop>false</ScaleCrop>
  <LinksUpToDate>false</LinksUpToDate>
  <CharactersWithSpaces>2076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2021-06-15T12:10:00Z</dcterms:created>
  <dc:creator>China</dc:creator>
  <cp:lastModifiedBy>请叫本王孙漂亮ii</cp:lastModifiedBy>
  <cp:lastPrinted>2019-11-24T13:40:00Z</cp:lastPrinted>
  <dcterms:modified xsi:type="dcterms:W3CDTF">2021-07-13T03:26:21Z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2019-05-29T00:00:00Z</vt:filetime>
  </property>
  <property fmtid="{D5CDD505-2E9C-101B-9397-08002B2CF9AE}" pid="5" name="KSOProductBuildVer">
    <vt:lpwstr>2052-11.1.0.10578</vt:lpwstr>
  </property>
  <property fmtid="{D5CDD505-2E9C-101B-9397-08002B2CF9AE}" pid="6" name="ICV">
    <vt:lpwstr>362F9D27EB73410EA43754C49977F398</vt:lpwstr>
  </property>
</Properties>
</file>