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EEDC12">
      <w:pPr>
        <w:spacing w:before="134" w:line="214" w:lineRule="auto"/>
        <w:ind w:left="2352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b/>
          <w:bCs/>
          <w:color w:val="FF0000"/>
          <w:spacing w:val="-4"/>
          <w:sz w:val="28"/>
          <w:szCs w:val="28"/>
        </w:rPr>
        <w:t>Edge 浏览器 IE 模式设置手册</w:t>
      </w:r>
    </w:p>
    <w:p w14:paraId="4700D459">
      <w:pPr>
        <w:spacing w:before="115" w:line="1471" w:lineRule="exact"/>
        <w:ind w:firstLine="3551"/>
      </w:pPr>
      <w:r>
        <w:rPr>
          <w:position w:val="-29"/>
        </w:rPr>
        <w:drawing>
          <wp:inline distT="0" distB="0" distL="0" distR="0">
            <wp:extent cx="781685" cy="93408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81811" cy="934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FD29B">
      <w:pPr>
        <w:spacing w:before="201" w:line="209" w:lineRule="auto"/>
        <w:ind w:left="35"/>
        <w:rPr>
          <w:rFonts w:ascii="微软雅黑" w:hAnsi="微软雅黑" w:eastAsia="微软雅黑" w:cs="微软雅黑"/>
          <w:sz w:val="24"/>
          <w:szCs w:val="24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1、</w:t>
      </w:r>
      <w:r>
        <w:rPr>
          <w:rFonts w:ascii="微软雅黑" w:hAnsi="微软雅黑" w:eastAsia="微软雅黑" w:cs="微软雅黑"/>
          <w:spacing w:val="6"/>
          <w:sz w:val="24"/>
          <w:szCs w:val="24"/>
        </w:rPr>
        <w:t xml:space="preserve">点击 </w:t>
      </w:r>
      <w:r>
        <w:rPr>
          <w:rFonts w:ascii="微软雅黑" w:hAnsi="微软雅黑" w:eastAsia="微软雅黑" w:cs="微软雅黑"/>
          <w:sz w:val="24"/>
          <w:szCs w:val="24"/>
        </w:rPr>
        <w:t>Edge</w:t>
      </w:r>
      <w:r>
        <w:rPr>
          <w:rFonts w:ascii="微软雅黑" w:hAnsi="微软雅黑" w:eastAsia="微软雅黑" w:cs="微软雅黑"/>
          <w:spacing w:val="6"/>
          <w:sz w:val="24"/>
          <w:szCs w:val="24"/>
        </w:rPr>
        <w:t>浏览器右上角的“</w:t>
      </w:r>
      <w:r>
        <w:rPr>
          <w:rFonts w:ascii="微软雅黑" w:hAnsi="微软雅黑" w:eastAsia="微软雅黑" w:cs="微软雅黑"/>
          <w:b/>
          <w:bCs/>
          <w:spacing w:val="6"/>
          <w:sz w:val="24"/>
          <w:szCs w:val="24"/>
        </w:rPr>
        <w:t>…</w:t>
      </w:r>
      <w:r>
        <w:rPr>
          <w:rFonts w:ascii="微软雅黑" w:hAnsi="微软雅黑" w:eastAsia="微软雅黑" w:cs="微软雅黑"/>
          <w:spacing w:val="6"/>
          <w:sz w:val="24"/>
          <w:szCs w:val="24"/>
        </w:rPr>
        <w:t>”</w:t>
      </w:r>
      <w:r>
        <w:rPr>
          <w:rFonts w:ascii="微软雅黑" w:hAnsi="微软雅黑" w:eastAsia="微软雅黑" w:cs="微软雅黑"/>
          <w:spacing w:val="-49"/>
          <w:sz w:val="24"/>
          <w:szCs w:val="24"/>
        </w:rPr>
        <w:t xml:space="preserve"> </w:t>
      </w:r>
      <w:r>
        <w:rPr>
          <w:rFonts w:ascii="微软雅黑" w:hAnsi="微软雅黑" w:eastAsia="微软雅黑" w:cs="微软雅黑"/>
          <w:spacing w:val="6"/>
          <w:sz w:val="24"/>
          <w:szCs w:val="24"/>
        </w:rPr>
        <w:t>，再点击“</w:t>
      </w:r>
      <w:r>
        <w:rPr>
          <w:rFonts w:ascii="微软雅黑" w:hAnsi="微软雅黑" w:eastAsia="微软雅黑" w:cs="微软雅黑"/>
          <w:b/>
          <w:bCs/>
          <w:spacing w:val="5"/>
          <w:sz w:val="24"/>
          <w:szCs w:val="24"/>
        </w:rPr>
        <w:t>设置</w:t>
      </w:r>
      <w:r>
        <w:rPr>
          <w:rFonts w:ascii="微软雅黑" w:hAnsi="微软雅黑" w:eastAsia="微软雅黑" w:cs="微软雅黑"/>
          <w:spacing w:val="5"/>
          <w:sz w:val="24"/>
          <w:szCs w:val="24"/>
        </w:rPr>
        <w:t>”</w:t>
      </w:r>
    </w:p>
    <w:p w14:paraId="72F5D2DD">
      <w:pPr>
        <w:spacing w:line="258" w:lineRule="auto"/>
        <w:rPr>
          <w:rFonts w:ascii="Arial"/>
          <w:sz w:val="21"/>
        </w:rPr>
      </w:pPr>
    </w:p>
    <w:p w14:paraId="3A88E762">
      <w:pPr>
        <w:spacing w:line="9989" w:lineRule="exact"/>
        <w:ind w:firstLine="837"/>
      </w:pPr>
      <w:r>
        <w:rPr>
          <w:position w:val="-199"/>
        </w:rPr>
        <w:drawing>
          <wp:inline distT="0" distB="0" distL="0" distR="0">
            <wp:extent cx="4219575" cy="6342380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19955" cy="6342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5836E">
      <w:pPr>
        <w:spacing w:line="9989" w:lineRule="exact"/>
        <w:sectPr>
          <w:pgSz w:w="11906" w:h="16839"/>
          <w:pgMar w:top="1431" w:right="1785" w:bottom="0" w:left="1785" w:header="0" w:footer="0" w:gutter="0"/>
          <w:cols w:space="720" w:num="1"/>
        </w:sectPr>
      </w:pPr>
    </w:p>
    <w:p w14:paraId="4543ACA2">
      <w:pPr>
        <w:pStyle w:val="2"/>
        <w:spacing w:before="167" w:line="225" w:lineRule="auto"/>
        <w:ind w:left="28"/>
      </w:pPr>
      <w:r>
        <w:rPr>
          <w:spacing w:val="-1"/>
        </w:rPr>
        <w:t>2、在打开的设置页面按下图所示进行兼容性设置</w:t>
      </w:r>
    </w:p>
    <w:p w14:paraId="7E0756B6">
      <w:pPr>
        <w:spacing w:before="194" w:line="4131" w:lineRule="exact"/>
        <w:ind w:firstLine="14"/>
      </w:pPr>
      <w:r>
        <w:rPr>
          <w:position w:val="-82"/>
        </w:rPr>
        <w:drawing>
          <wp:inline distT="0" distB="0" distL="0" distR="0">
            <wp:extent cx="5266690" cy="2622550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944" cy="2622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BF117">
      <w:pPr>
        <w:pStyle w:val="2"/>
        <w:spacing w:before="281" w:line="225" w:lineRule="auto"/>
        <w:ind w:left="30"/>
      </w:pPr>
      <w:r>
        <w:rPr>
          <w:spacing w:val="-2"/>
        </w:rPr>
        <w:t>3、接着访问伊犁州公共资源交易平台</w:t>
      </w:r>
    </w:p>
    <w:p w14:paraId="6BB6E84D">
      <w:pPr>
        <w:pStyle w:val="2"/>
        <w:spacing w:before="237" w:line="356" w:lineRule="auto"/>
        <w:ind w:left="50" w:right="376" w:firstLine="5"/>
      </w:pPr>
      <w:r>
        <w:rPr>
          <w:spacing w:val="-1"/>
        </w:rPr>
        <w:t>（</w:t>
      </w:r>
      <w:r>
        <w:fldChar w:fldCharType="begin"/>
      </w:r>
      <w:r>
        <w:instrText xml:space="preserve"> HYPERLINK "http://ggzy.xjyl.gov.cn/TPBidder/memberLogin" </w:instrText>
      </w:r>
      <w:r>
        <w:fldChar w:fldCharType="separate"/>
      </w:r>
      <w:r>
        <w:rPr>
          <w:spacing w:val="-1"/>
        </w:rPr>
        <w:t>http://ggzy.xjyl.gov.cn/TPB</w:t>
      </w:r>
      <w:r>
        <w:rPr>
          <w:spacing w:val="-2"/>
        </w:rPr>
        <w:t>idder/memberLogin</w:t>
      </w:r>
      <w:r>
        <w:rPr>
          <w:spacing w:val="-2"/>
        </w:rPr>
        <w:fldChar w:fldCharType="end"/>
      </w:r>
      <w:r>
        <w:rPr>
          <w:spacing w:val="-17"/>
        </w:rPr>
        <w:t>）</w:t>
      </w:r>
      <w:r>
        <w:rPr>
          <w:spacing w:val="-35"/>
        </w:rPr>
        <w:t xml:space="preserve"> </w:t>
      </w:r>
      <w:r>
        <w:rPr>
          <w:spacing w:val="-17"/>
        </w:rPr>
        <w:t>，</w:t>
      </w:r>
      <w:r>
        <w:rPr>
          <w:spacing w:val="-2"/>
        </w:rPr>
        <w:t>仍然点击右上角的</w:t>
      </w:r>
      <w:r>
        <w:rPr>
          <w:spacing w:val="2"/>
        </w:rPr>
        <w:t>“…”</w:t>
      </w:r>
      <w:r>
        <w:rPr>
          <w:spacing w:val="-44"/>
        </w:rPr>
        <w:t xml:space="preserve"> </w:t>
      </w:r>
      <w:r>
        <w:rPr>
          <w:spacing w:val="2"/>
        </w:rPr>
        <w:t>,  点击列表中的“</w:t>
      </w:r>
      <w:r>
        <w:rPr>
          <w:b/>
          <w:bCs/>
          <w:spacing w:val="2"/>
        </w:rPr>
        <w:t xml:space="preserve">在 </w:t>
      </w:r>
      <w:r>
        <w:rPr>
          <w:b/>
          <w:bCs/>
        </w:rPr>
        <w:t>Internet</w:t>
      </w:r>
      <w:r>
        <w:rPr>
          <w:b/>
          <w:bCs/>
          <w:spacing w:val="21"/>
        </w:rPr>
        <w:t xml:space="preserve"> </w:t>
      </w:r>
      <w:r>
        <w:rPr>
          <w:b/>
          <w:bCs/>
        </w:rPr>
        <w:t>Explorer</w:t>
      </w:r>
      <w:r>
        <w:rPr>
          <w:b/>
          <w:bCs/>
          <w:spacing w:val="2"/>
        </w:rPr>
        <w:t xml:space="preserve"> 模式下重新加载</w:t>
      </w:r>
      <w:r>
        <w:rPr>
          <w:spacing w:val="2"/>
        </w:rPr>
        <w:t>”</w:t>
      </w:r>
    </w:p>
    <w:p w14:paraId="25FEDDE8">
      <w:pPr>
        <w:spacing w:line="4413" w:lineRule="exact"/>
        <w:ind w:firstLine="14"/>
      </w:pPr>
      <w:r>
        <w:rPr>
          <w:position w:val="-88"/>
        </w:rPr>
        <w:drawing>
          <wp:inline distT="0" distB="0" distL="0" distR="0">
            <wp:extent cx="5274310" cy="2802255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563" cy="280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39FCB">
      <w:pPr>
        <w:pStyle w:val="2"/>
        <w:spacing w:before="292" w:line="218" w:lineRule="auto"/>
        <w:jc w:val="right"/>
      </w:pPr>
      <w:r>
        <w:rPr>
          <w:spacing w:val="-5"/>
        </w:rPr>
        <w:t>4、地址栏最左侧①显示 IE 图标即为 IE</w:t>
      </w:r>
      <w:r>
        <w:rPr>
          <w:spacing w:val="-6"/>
        </w:rPr>
        <w:t xml:space="preserve"> 模式，点击 IE 图标，按图中②进行设置。</w:t>
      </w:r>
    </w:p>
    <w:p w14:paraId="57B5272A">
      <w:pPr>
        <w:spacing w:line="218" w:lineRule="auto"/>
        <w:sectPr>
          <w:pgSz w:w="11906" w:h="16839"/>
          <w:pgMar w:top="1431" w:right="1730" w:bottom="0" w:left="1785" w:header="0" w:footer="0" w:gutter="0"/>
          <w:cols w:space="720" w:num="1"/>
        </w:sectPr>
      </w:pPr>
    </w:p>
    <w:p w14:paraId="2119416F">
      <w:pPr>
        <w:spacing w:before="140" w:line="5028" w:lineRule="exact"/>
        <w:ind w:firstLine="14"/>
      </w:pPr>
      <w:r>
        <w:rPr>
          <w:position w:val="-100"/>
        </w:rPr>
        <w:drawing>
          <wp:inline distT="0" distB="0" distL="0" distR="0">
            <wp:extent cx="5274310" cy="3192780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563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F2561">
      <w:pPr>
        <w:pStyle w:val="2"/>
        <w:spacing w:before="302" w:line="349" w:lineRule="auto"/>
        <w:ind w:left="17" w:right="121" w:firstLine="17"/>
      </w:pPr>
      <w:r>
        <w:rPr>
          <w:spacing w:val="-3"/>
        </w:rPr>
        <w:t>5、驱动安装完毕后</w:t>
      </w:r>
      <w:r>
        <w:rPr>
          <w:spacing w:val="-35"/>
        </w:rPr>
        <w:t xml:space="preserve"> </w:t>
      </w:r>
      <w:r>
        <w:rPr>
          <w:spacing w:val="-3"/>
        </w:rPr>
        <w:t>，检查确定伊犁版驱动检测工具已安装成功且</w:t>
      </w:r>
      <w:r>
        <w:rPr>
          <w:rFonts w:ascii="MS Gothic" w:hAnsi="MS Gothic" w:eastAsia="MS Gothic" w:cs="MS Gothic"/>
          <w:b/>
          <w:bCs/>
          <w:color w:val="00B050"/>
          <w:spacing w:val="-3"/>
        </w:rPr>
        <w:t>☑</w:t>
      </w:r>
      <w:r>
        <w:rPr>
          <w:b/>
          <w:bCs/>
          <w:color w:val="00B050"/>
          <w:spacing w:val="-3"/>
        </w:rPr>
        <w:t>检</w:t>
      </w:r>
      <w:r>
        <w:rPr>
          <w:b/>
          <w:bCs/>
          <w:color w:val="00B050"/>
          <w:spacing w:val="-4"/>
        </w:rPr>
        <w:t>测通过，</w:t>
      </w:r>
      <w:r>
        <w:rPr>
          <w:spacing w:val="-1"/>
        </w:rPr>
        <w:t>检测不通过的请卸载重装驱动。</w:t>
      </w:r>
    </w:p>
    <w:p w14:paraId="6738065E">
      <w:pPr>
        <w:spacing w:line="240" w:lineRule="auto"/>
        <w:ind w:firstLine="434"/>
        <w:rPr>
          <w:rFonts w:hint="eastAsia" w:eastAsia="宋体"/>
          <w:lang w:eastAsia="zh-CN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3564890</wp:posOffset>
            </wp:positionH>
            <wp:positionV relativeFrom="paragraph">
              <wp:posOffset>3334385</wp:posOffset>
            </wp:positionV>
            <wp:extent cx="857885" cy="1037590"/>
            <wp:effectExtent l="0" t="0" r="0" b="0"/>
            <wp:wrapNone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58011" cy="1037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325110" cy="3335655"/>
            <wp:effectExtent l="0" t="0" r="8890" b="17145"/>
            <wp:docPr id="3" name="图片 3" descr="ee789763-60e0-44f6-a947-c5ef40cf3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ee789763-60e0-44f6-a947-c5ef40cf399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25110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55B1F">
      <w:pPr>
        <w:pStyle w:val="2"/>
        <w:spacing w:before="274" w:line="230" w:lineRule="auto"/>
        <w:ind w:left="28"/>
      </w:pPr>
      <w:r>
        <w:rPr>
          <w:spacing w:val="-1"/>
        </w:rPr>
        <w:t>6、下载运行一次</w:t>
      </w:r>
      <w:r>
        <w:rPr>
          <w:b/>
          <w:bCs/>
          <w:spacing w:val="-1"/>
        </w:rPr>
        <w:t>【IE 浏览器配置小工</w:t>
      </w:r>
      <w:r>
        <w:rPr>
          <w:b/>
          <w:bCs/>
          <w:spacing w:val="-2"/>
        </w:rPr>
        <w:t>具.exe】</w:t>
      </w:r>
    </w:p>
    <w:p w14:paraId="336A34AF">
      <w:pPr>
        <w:pStyle w:val="2"/>
        <w:spacing w:before="236" w:line="225" w:lineRule="auto"/>
        <w:ind w:left="27"/>
      </w:pPr>
      <w:r>
        <w:rPr>
          <w:spacing w:val="-1"/>
        </w:rPr>
        <w:t>7、访问伊犁州公共资源交易平台</w:t>
      </w:r>
      <w:bookmarkStart w:id="0" w:name="_GoBack"/>
      <w:bookmarkEnd w:id="0"/>
    </w:p>
    <w:p w14:paraId="59941B95">
      <w:pPr>
        <w:pStyle w:val="2"/>
        <w:spacing w:before="237" w:line="209" w:lineRule="auto"/>
        <w:jc w:val="right"/>
      </w:pPr>
      <w:r>
        <w:rPr>
          <w:spacing w:val="-2"/>
        </w:rPr>
        <w:t>（</w:t>
      </w:r>
      <w:r>
        <w:fldChar w:fldCharType="begin"/>
      </w:r>
      <w:r>
        <w:instrText xml:space="preserve"> HYPERLINK "http://ggzy.xjyl.gov.cn/TPBidder/memberLogin" </w:instrText>
      </w:r>
      <w:r>
        <w:fldChar w:fldCharType="separate"/>
      </w:r>
      <w:r>
        <w:rPr>
          <w:spacing w:val="-2"/>
        </w:rPr>
        <w:t>http://ggzy.xjyl.gov.cn/TPBidder/</w:t>
      </w:r>
      <w:r>
        <w:rPr>
          <w:spacing w:val="-3"/>
        </w:rPr>
        <w:t>memberLogin</w:t>
      </w:r>
      <w:r>
        <w:rPr>
          <w:spacing w:val="-3"/>
        </w:rPr>
        <w:fldChar w:fldCharType="end"/>
      </w:r>
      <w:r>
        <w:rPr>
          <w:spacing w:val="-25"/>
        </w:rPr>
        <w:t>），</w:t>
      </w:r>
      <w:r>
        <w:rPr>
          <w:spacing w:val="-3"/>
        </w:rPr>
        <w:t>底部会多次弹出提示，</w:t>
      </w:r>
    </w:p>
    <w:p w14:paraId="0A5A5FD4">
      <w:pPr>
        <w:pStyle w:val="2"/>
        <w:spacing w:before="308" w:line="184" w:lineRule="auto"/>
        <w:ind w:left="17"/>
      </w:pPr>
      <w:r>
        <w:rPr>
          <w:spacing w:val="-3"/>
        </w:rPr>
        <w:t>全部选择</w:t>
      </w:r>
      <w:r>
        <w:rPr>
          <w:b/>
          <w:bCs/>
          <w:spacing w:val="-3"/>
        </w:rPr>
        <w:t>允许</w:t>
      </w:r>
      <w:r>
        <w:rPr>
          <w:b/>
          <w:bCs/>
          <w:spacing w:val="-34"/>
        </w:rPr>
        <w:t xml:space="preserve"> </w:t>
      </w:r>
      <w:r>
        <w:rPr>
          <w:spacing w:val="-3"/>
        </w:rPr>
        <w:t>，直到不弹出为止</w:t>
      </w:r>
    </w:p>
    <w:p w14:paraId="200DA78E">
      <w:pPr>
        <w:spacing w:line="184" w:lineRule="auto"/>
        <w:sectPr>
          <w:pgSz w:w="11906" w:h="16839"/>
          <w:pgMar w:top="1431" w:right="1732" w:bottom="0" w:left="1785" w:header="0" w:footer="0" w:gutter="0"/>
          <w:cols w:space="720" w:num="1"/>
        </w:sectPr>
      </w:pPr>
    </w:p>
    <w:p w14:paraId="4365957F">
      <w:pPr>
        <w:spacing w:before="54" w:line="5808" w:lineRule="exact"/>
        <w:ind w:firstLine="14"/>
      </w:pPr>
      <w:r>
        <w:rPr>
          <w:position w:val="-116"/>
        </w:rPr>
        <w:drawing>
          <wp:inline distT="0" distB="0" distL="0" distR="0">
            <wp:extent cx="5274310" cy="3687445"/>
            <wp:effectExtent l="0" t="0" r="0" b="0"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563" cy="3688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BE16A">
      <w:pPr>
        <w:pStyle w:val="2"/>
        <w:spacing w:before="232" w:line="209" w:lineRule="auto"/>
        <w:ind w:left="34"/>
        <w:outlineLvl w:val="1"/>
      </w:pPr>
      <w:r>
        <w:rPr>
          <w:spacing w:val="1"/>
        </w:rPr>
        <w:t xml:space="preserve">5、此时 </w:t>
      </w:r>
      <w:r>
        <w:t>Edge</w:t>
      </w:r>
      <w:r>
        <w:rPr>
          <w:spacing w:val="1"/>
        </w:rPr>
        <w:t>浏览器环境设置完成</w:t>
      </w:r>
      <w:r>
        <w:rPr>
          <w:spacing w:val="-18"/>
        </w:rPr>
        <w:t xml:space="preserve"> </w:t>
      </w:r>
      <w:r>
        <w:rPr>
          <w:spacing w:val="1"/>
        </w:rPr>
        <w:t xml:space="preserve">，可 </w:t>
      </w:r>
      <w:r>
        <w:t>ca</w:t>
      </w:r>
      <w:r>
        <w:rPr>
          <w:spacing w:val="1"/>
        </w:rPr>
        <w:t>登录系统</w:t>
      </w:r>
    </w:p>
    <w:sectPr>
      <w:pgSz w:w="11906" w:h="16839"/>
      <w:pgMar w:top="1431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S Gothic">
    <w:panose1 w:val="020B0609070205080204"/>
    <w:charset w:val="86"/>
    <w:family w:val="auto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2541E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275</Words>
  <Characters>393</Characters>
  <TotalTime>3</TotalTime>
  <ScaleCrop>false</ScaleCrop>
  <LinksUpToDate>false</LinksUpToDate>
  <CharactersWithSpaces>417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2023-10-07T18:24:00Z</dcterms:created>
  <dc:creator>陈钱</dc:creator>
  <cp:lastModifiedBy>Mr  张</cp:lastModifiedBy>
  <dcterms:modified xsi:type="dcterms:W3CDTF">2026-09-10T11:34:47Z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2026-09-10T19:31:14Z</vt:filetime>
  </property>
  <property fmtid="{D5CDD505-2E9C-101B-9397-08002B2CF9AE}" pid="4" name="KSOTemplateDocerSaveRecord">
    <vt:lpwstr>eyJoZGlkIjoiY2U5ZDNjODkwNjllODU0MGVmZGI1NTZjNjNkODc2ODIiLCJ1c2VySWQiOiIzMDIzNzcyMTcifQ==</vt:lpwstr>
  </property>
  <property fmtid="{D5CDD505-2E9C-101B-9397-08002B2CF9AE}" pid="5" name="KSOProductBuildVer">
    <vt:lpwstr>2052-12.1.0.28505</vt:lpwstr>
  </property>
  <property fmtid="{D5CDD505-2E9C-101B-9397-08002B2CF9AE}" pid="6" name="ICV">
    <vt:lpwstr>AD7CC2E46D0540BB8FB9C607F344108B_13</vt:lpwstr>
  </property>
</Properties>
</file>